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lang w:val="uk-UA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color w:val="auto"/>
          <w:sz w:val="28"/>
          <w:szCs w:val="28"/>
        </w:rPr>
        <w:t>ТОВАРИСТВО З ОБМЕЖЕНОЮ ВІДПОВІДАЛЬНІСТЮ</w:t>
      </w:r>
    </w:p>
    <w:p w:rsidR="00215E7D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color w:val="auto"/>
          <w:sz w:val="28"/>
          <w:szCs w:val="28"/>
        </w:rPr>
        <w:t>«</w:t>
      </w:r>
      <w:r w:rsidR="00DA64D1" w:rsidRPr="00DA64D1">
        <w:rPr>
          <w:rFonts w:ascii="Arial" w:hAnsi="Arial" w:cs="Arial"/>
          <w:color w:val="auto"/>
          <w:sz w:val="28"/>
          <w:szCs w:val="28"/>
          <w:lang w:val="uk-UA"/>
        </w:rPr>
        <w:t>ДНІПРОСТАЛЬ - ЕНЕРГО</w:t>
      </w:r>
      <w:r w:rsidRPr="00DA64D1">
        <w:rPr>
          <w:rFonts w:ascii="Arial" w:hAnsi="Arial" w:cs="Arial"/>
          <w:color w:val="auto"/>
          <w:sz w:val="28"/>
          <w:szCs w:val="28"/>
        </w:rPr>
        <w:t>»</w:t>
      </w: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>ІНСТРУКЦІЯ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ПРО ПОРЯДОК ПОДАННЯ ЗВЕРНЕНЬ/СКАРГ/ПРЕТЕНЗІЙ</w:t>
      </w: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м.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Дніпро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215E7D" w:rsidRPr="00051DD4" w:rsidRDefault="00215E7D" w:rsidP="00DA64D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DA64D1">
        <w:rPr>
          <w:rFonts w:ascii="Arial" w:hAnsi="Arial" w:cs="Arial"/>
          <w:color w:val="auto"/>
          <w:sz w:val="23"/>
          <w:szCs w:val="23"/>
        </w:rPr>
        <w:t>201</w:t>
      </w:r>
      <w:r w:rsidR="00051DD4">
        <w:rPr>
          <w:rFonts w:ascii="Arial" w:hAnsi="Arial" w:cs="Arial"/>
          <w:color w:val="auto"/>
          <w:sz w:val="23"/>
          <w:szCs w:val="23"/>
          <w:lang w:val="uk-UA"/>
        </w:rPr>
        <w:t>8</w:t>
      </w:r>
    </w:p>
    <w:p w:rsidR="00215E7D" w:rsidRPr="00DA64D1" w:rsidRDefault="00215E7D" w:rsidP="00DA64D1">
      <w:pPr>
        <w:pStyle w:val="Default"/>
        <w:pageBreakBefore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lastRenderedPageBreak/>
        <w:t>ЗМІСТ</w:t>
      </w: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1.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документу 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2.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Цілі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документу: ........................................................................................................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...............</w:t>
      </w:r>
      <w:r w:rsidRPr="00DA64D1">
        <w:rPr>
          <w:rFonts w:ascii="Arial" w:hAnsi="Arial" w:cs="Arial"/>
          <w:color w:val="auto"/>
          <w:sz w:val="23"/>
          <w:szCs w:val="23"/>
        </w:rPr>
        <w:t>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3.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</w:t>
      </w:r>
      <w:r w:rsidR="00DA64D1">
        <w:rPr>
          <w:rFonts w:ascii="Arial" w:hAnsi="Arial" w:cs="Arial"/>
          <w:color w:val="auto"/>
          <w:sz w:val="23"/>
          <w:szCs w:val="23"/>
        </w:rPr>
        <w:t>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</w:t>
      </w:r>
      <w:r w:rsidRPr="00DA64D1">
        <w:rPr>
          <w:rFonts w:ascii="Arial" w:hAnsi="Arial" w:cs="Arial"/>
          <w:color w:val="auto"/>
          <w:sz w:val="23"/>
          <w:szCs w:val="23"/>
        </w:rPr>
        <w:t>..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4.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Загальні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положення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</w:t>
      </w:r>
      <w:r w:rsidRPr="00DA64D1">
        <w:rPr>
          <w:rFonts w:ascii="Arial" w:hAnsi="Arial" w:cs="Arial"/>
          <w:color w:val="auto"/>
          <w:sz w:val="23"/>
          <w:szCs w:val="23"/>
        </w:rPr>
        <w:t>.....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5.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Загальні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принципи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..... 4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6.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Способи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адресу 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..........</w:t>
      </w:r>
      <w:r w:rsidR="008D7F46">
        <w:rPr>
          <w:rFonts w:ascii="Arial" w:hAnsi="Arial" w:cs="Arial"/>
          <w:color w:val="auto"/>
          <w:sz w:val="23"/>
          <w:szCs w:val="23"/>
        </w:rPr>
        <w:t>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 4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7.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 5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pageBreakBefore/>
        <w:jc w:val="both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1.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Призначення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документу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порядок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визначає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порядок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можливі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способи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 xml:space="preserve">                                         </w:t>
      </w:r>
      <w:r w:rsidRPr="00DA64D1">
        <w:rPr>
          <w:rFonts w:ascii="Arial" w:hAnsi="Arial" w:cs="Arial"/>
          <w:color w:val="auto"/>
          <w:sz w:val="23"/>
          <w:szCs w:val="23"/>
        </w:rPr>
        <w:t>ТОВ «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>ДНІПРОСТАЛЬ - ЕНЕРГО</w:t>
      </w:r>
      <w:r w:rsidRPr="00DA64D1">
        <w:rPr>
          <w:rFonts w:ascii="Arial" w:hAnsi="Arial" w:cs="Arial"/>
          <w:color w:val="auto"/>
          <w:sz w:val="23"/>
          <w:szCs w:val="23"/>
        </w:rPr>
        <w:t>»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r w:rsidR="009825BB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>).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2.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Цілі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документу: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спрямована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досягнення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наступних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цілей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Ознайомлення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можливими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комунікацій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r w:rsidR="009825BB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>ом;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Ознайомлення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/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Встановлення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єдиних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процесу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прийняття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урахуванням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чинного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зокрема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3.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Визначення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термінів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звернення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запит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консультації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пов’язаних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комерційна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електричної енергії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ліцензіатом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споживачеві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передбачає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ліцензіатом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строків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виконання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робіт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установлених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чинним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зокрема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Правилами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312;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ліцензіат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суб’єкт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господарювання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здійснює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продаж електричної енергії за договором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після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початку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нового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енергії.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претензія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суб’єкта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усунення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умов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договору, у тому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числі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та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відшкодування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збитків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завданих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внаслідок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таких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скарга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виражене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незадоволення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та/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пов’язаних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поновлення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його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бездіяльністю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захисту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інтересів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Загальні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положення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комплекс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обов’язкових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для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виконання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заходів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спрямованих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забезпечення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ефективної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прозорої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поширюється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всіх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співробітників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задіяних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у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процесі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керується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ринок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енергії»;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</w:rPr>
      </w:pPr>
    </w:p>
    <w:p w:rsidR="00215E7D" w:rsidRPr="00DA64D1" w:rsidRDefault="00215E7D" w:rsidP="00DA64D1">
      <w:pPr>
        <w:pStyle w:val="Default"/>
        <w:pageBreakBefore/>
        <w:jc w:val="both"/>
        <w:rPr>
          <w:rFonts w:ascii="Arial" w:hAnsi="Arial" w:cs="Arial"/>
          <w:color w:val="auto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захист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Кодексом систем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розподілу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>року № 310;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Кодексом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комерційного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обліку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311;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Правилами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312;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забезпечення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стандартів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компенсації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їх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недотримання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12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червня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375.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5.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Загальні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принципи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роботи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зверненнями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споживачів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Фіксація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всіх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Оперативність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максимально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короткі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об’єктивність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повинна бути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вичерпною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достовірною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допускати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подвійного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тлумачення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містити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собі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дійсності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суперечить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вимогам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чинного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C0546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  <w:lang w:val="uk-UA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6.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Способи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надання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звернень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скарг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претензій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на адресу </w:t>
      </w:r>
      <w:r w:rsidR="00DC0546">
        <w:rPr>
          <w:rFonts w:ascii="Arial" w:hAnsi="Arial" w:cs="Arial"/>
          <w:b/>
          <w:bCs/>
          <w:color w:val="auto"/>
          <w:sz w:val="28"/>
          <w:szCs w:val="28"/>
          <w:lang w:val="uk-UA"/>
        </w:rPr>
        <w:t>Постачальника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подати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будь-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зручним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способом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шляхом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листа)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відвідуванні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скориставшись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одним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із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сервісів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заочного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обслуговування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C0546" w:rsidRDefault="00DC0546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Усні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можуть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бути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до: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uk-UA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З</w:t>
      </w:r>
      <w:r w:rsidRPr="00DA64D1">
        <w:rPr>
          <w:rFonts w:ascii="Arial" w:hAnsi="Arial" w:cs="Arial"/>
          <w:color w:val="auto"/>
          <w:sz w:val="23"/>
          <w:szCs w:val="23"/>
        </w:rPr>
        <w:t>а номером телефону: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 056-747-46-08</w:t>
      </w:r>
    </w:p>
    <w:p w:rsidR="00DC0546" w:rsidRPr="00DC0546" w:rsidRDefault="00DC0546" w:rsidP="00DC0546">
      <w:pPr>
        <w:pStyle w:val="Default"/>
        <w:tabs>
          <w:tab w:val="left" w:pos="2694"/>
        </w:tabs>
        <w:jc w:val="both"/>
        <w:rPr>
          <w:rFonts w:ascii="Arial" w:hAnsi="Arial" w:cs="Arial"/>
          <w:color w:val="auto"/>
          <w:sz w:val="23"/>
          <w:szCs w:val="23"/>
          <w:lang w:val="uk-UA"/>
        </w:rPr>
      </w:pPr>
      <w:r>
        <w:rPr>
          <w:rFonts w:ascii="Arial" w:hAnsi="Arial" w:cs="Arial"/>
          <w:color w:val="auto"/>
          <w:sz w:val="23"/>
          <w:szCs w:val="23"/>
          <w:lang w:val="uk-UA"/>
        </w:rPr>
        <w:tab/>
        <w:t>0562-35-87-38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прийомі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посадових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осіб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Письмові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можуть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бути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шляхом: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листів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допомогою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поштового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зв’язку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адресу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передачі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відвідуванні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адресу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Електронні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надаються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шляхом: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допомогою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зворотного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зв’язку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сайті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- </w:t>
      </w:r>
      <w:r w:rsidR="00DC0546">
        <w:rPr>
          <w:rFonts w:ascii="Arial" w:hAnsi="Arial" w:cs="Arial"/>
          <w:b/>
          <w:bCs/>
          <w:color w:val="auto"/>
          <w:sz w:val="23"/>
          <w:szCs w:val="23"/>
        </w:rPr>
        <w:t>http://dse.interpipe.biz</w:t>
      </w:r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</w:rPr>
      </w:pPr>
    </w:p>
    <w:p w:rsidR="00215E7D" w:rsidRPr="00D45FA1" w:rsidRDefault="00215E7D" w:rsidP="00DA64D1">
      <w:pPr>
        <w:pStyle w:val="Default"/>
        <w:pageBreakBefore/>
        <w:jc w:val="both"/>
        <w:rPr>
          <w:rFonts w:ascii="Arial" w:hAnsi="Arial" w:cs="Arial"/>
          <w:i/>
          <w:color w:val="auto"/>
          <w:sz w:val="23"/>
          <w:szCs w:val="23"/>
          <w:u w:val="single"/>
        </w:rPr>
      </w:pP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lastRenderedPageBreak/>
        <w:t>Повідомлення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про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загрозу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з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електробезпеки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надаються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споживачем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виключно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за номером телефону Контакт-центру оператора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системи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розподілу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:</w:t>
      </w:r>
    </w:p>
    <w:p w:rsidR="00215E7D" w:rsidRPr="00D45FA1" w:rsidRDefault="00215E7D" w:rsidP="00DA64D1">
      <w:pPr>
        <w:pStyle w:val="Default"/>
        <w:jc w:val="both"/>
        <w:rPr>
          <w:rFonts w:ascii="Arial" w:hAnsi="Arial" w:cs="Arial"/>
          <w:b/>
          <w:bCs/>
          <w:i/>
          <w:color w:val="auto"/>
          <w:sz w:val="23"/>
          <w:szCs w:val="23"/>
        </w:rPr>
      </w:pPr>
      <w:r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АТ «ДТЕК ДНІПРОВСЬКІ ЕЛЕКТРОМЕРЕЖІ» 0 800 500</w:t>
      </w:r>
      <w:r w:rsidR="00DC0546"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 </w:t>
      </w:r>
      <w:r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444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7.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Реєстрація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звернень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скарг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претензій</w:t>
      </w:r>
      <w:proofErr w:type="spellEnd"/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реєструються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Постачальником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згідно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організованим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Постачальника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клієнтів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телефонного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зв'язку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офісі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ринку) - у день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його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її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день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подано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(у тому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числі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за 1 годину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завершення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дня.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менше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ніж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1 годину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закінчення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пізніше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наступного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дня.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статті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8 Закону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»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без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місця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проживання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підписане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автором (авторами),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неможливо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встановити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авторство,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анонімним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і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підлягає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Повторні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розглядаються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одним і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же органом від одного і того ж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громадянина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одного і того ж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питання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перше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вирішено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передбачено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статтею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17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цього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Закону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»,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осіб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судом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недієздатними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Рішення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припинення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такого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приймає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керівник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,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повідомляється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яка подала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Представник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,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здійснює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зобов’язаний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бажанням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присвоєння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номеру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шляхом:</w:t>
      </w:r>
    </w:p>
    <w:p w:rsidR="00215E7D" w:rsidRPr="00DA64D1" w:rsidRDefault="00215E7D" w:rsidP="00051DD4">
      <w:pPr>
        <w:pStyle w:val="Default"/>
        <w:spacing w:after="22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номеру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відразу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після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051DD4">
      <w:pPr>
        <w:pStyle w:val="Default"/>
        <w:spacing w:after="22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листа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адресу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051DD4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здійсненні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телефонного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дзвінка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904FE6" w:rsidRPr="00DA64D1" w:rsidRDefault="00904FE6" w:rsidP="00DA64D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04FE6" w:rsidRPr="00DA64D1" w:rsidSect="00C07755">
      <w:footerReference w:type="default" r:id="rId8"/>
      <w:pgSz w:w="11906" w:h="17338"/>
      <w:pgMar w:top="1298" w:right="489" w:bottom="658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02" w:rsidRDefault="00D71302" w:rsidP="00D45FA1">
      <w:pPr>
        <w:spacing w:after="0" w:line="240" w:lineRule="auto"/>
      </w:pPr>
      <w:r>
        <w:separator/>
      </w:r>
    </w:p>
  </w:endnote>
  <w:endnote w:type="continuationSeparator" w:id="0">
    <w:p w:rsidR="00D71302" w:rsidRDefault="00D71302" w:rsidP="00D4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90609"/>
      <w:docPartObj>
        <w:docPartGallery w:val="Page Numbers (Bottom of Page)"/>
        <w:docPartUnique/>
      </w:docPartObj>
    </w:sdtPr>
    <w:sdtContent>
      <w:p w:rsidR="00D45FA1" w:rsidRDefault="00D45F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D4">
          <w:rPr>
            <w:noProof/>
          </w:rPr>
          <w:t>5</w:t>
        </w:r>
        <w:r>
          <w:fldChar w:fldCharType="end"/>
        </w:r>
      </w:p>
    </w:sdtContent>
  </w:sdt>
  <w:p w:rsidR="00D45FA1" w:rsidRDefault="00D45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02" w:rsidRDefault="00D71302" w:rsidP="00D45FA1">
      <w:pPr>
        <w:spacing w:after="0" w:line="240" w:lineRule="auto"/>
      </w:pPr>
      <w:r>
        <w:separator/>
      </w:r>
    </w:p>
  </w:footnote>
  <w:footnote w:type="continuationSeparator" w:id="0">
    <w:p w:rsidR="00D71302" w:rsidRDefault="00D71302" w:rsidP="00D4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0A544C"/>
    <w:multiLevelType w:val="hybridMultilevel"/>
    <w:tmpl w:val="AD4BB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A772E5"/>
    <w:multiLevelType w:val="hybridMultilevel"/>
    <w:tmpl w:val="D5764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F3BC73"/>
    <w:multiLevelType w:val="hybridMultilevel"/>
    <w:tmpl w:val="EC897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65FBAC"/>
    <w:multiLevelType w:val="hybridMultilevel"/>
    <w:tmpl w:val="5CED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33CB20"/>
    <w:multiLevelType w:val="hybridMultilevel"/>
    <w:tmpl w:val="7C417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A3CD06"/>
    <w:multiLevelType w:val="hybridMultilevel"/>
    <w:tmpl w:val="4173B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77E961"/>
    <w:multiLevelType w:val="hybridMultilevel"/>
    <w:tmpl w:val="2F4B41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6C4361"/>
    <w:multiLevelType w:val="hybridMultilevel"/>
    <w:tmpl w:val="90DFE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645DC1"/>
    <w:multiLevelType w:val="hybridMultilevel"/>
    <w:tmpl w:val="6C32F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476A97B"/>
    <w:multiLevelType w:val="hybridMultilevel"/>
    <w:tmpl w:val="61F9C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72CCEC"/>
    <w:multiLevelType w:val="hybridMultilevel"/>
    <w:tmpl w:val="9633F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E"/>
    <w:rsid w:val="0002016B"/>
    <w:rsid w:val="00051DD4"/>
    <w:rsid w:val="00215E7D"/>
    <w:rsid w:val="0089597E"/>
    <w:rsid w:val="008D7F46"/>
    <w:rsid w:val="00904FE6"/>
    <w:rsid w:val="009825BB"/>
    <w:rsid w:val="00D45FA1"/>
    <w:rsid w:val="00D71302"/>
    <w:rsid w:val="00DA64D1"/>
    <w:rsid w:val="00D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CF7F-B044-4A8C-9247-E4BDBE6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FA1"/>
  </w:style>
  <w:style w:type="paragraph" w:styleId="a5">
    <w:name w:val="footer"/>
    <w:basedOn w:val="a"/>
    <w:link w:val="a6"/>
    <w:uiPriority w:val="99"/>
    <w:unhideWhenUsed/>
    <w:rsid w:val="00D4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891C-0381-46FC-89CF-0B15F72E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10</cp:revision>
  <dcterms:created xsi:type="dcterms:W3CDTF">2019-03-19T12:59:00Z</dcterms:created>
  <dcterms:modified xsi:type="dcterms:W3CDTF">2019-03-19T13:40:00Z</dcterms:modified>
</cp:coreProperties>
</file>